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B7CF1" w:rsidRDefault="007D408E">
      <w:pPr>
        <w:pStyle w:val="Standard"/>
        <w:spacing w:line="480" w:lineRule="auto"/>
        <w:jc w:val="center"/>
      </w:pPr>
      <w:r>
        <w:rPr>
          <w:rFonts w:ascii="Times New Roman" w:eastAsia="Times New Roman" w:hAnsi="Times New Roman" w:cs="Times New Roman"/>
          <w:b/>
          <w:bCs/>
          <w:sz w:val="32"/>
          <w:szCs w:val="32"/>
        </w:rPr>
        <w:t>Inhibition-Biased Pruning and Cognitive Reserve Amplification in Bipolar Disorder: A Computational Framework with Insights into Glutamatergic Therapeutics</w:t>
      </w: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Authors:  </w:t>
      </w:r>
    </w:p>
    <w:p w:rsidR="001B7CF1" w:rsidRDefault="007D408E">
      <w:pPr>
        <w:pStyle w:val="Standard"/>
        <w:spacing w:line="480" w:lineRule="auto"/>
        <w:jc w:val="both"/>
      </w:pPr>
      <w:r>
        <w:rPr>
          <w:rFonts w:ascii="Times New Roman" w:eastAsia="Times New Roman" w:hAnsi="Times New Roman" w:cs="Times New Roman"/>
        </w:rPr>
        <w:t xml:space="preserve">Ngo Cheung, FHKAM(Psychiatry)  </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Affiliations:  </w:t>
      </w:r>
    </w:p>
    <w:p w:rsidR="001B7CF1" w:rsidRDefault="007D408E">
      <w:pPr>
        <w:pStyle w:val="Standard"/>
        <w:spacing w:line="480" w:lineRule="auto"/>
        <w:jc w:val="both"/>
      </w:pPr>
      <w:r>
        <w:rPr>
          <w:rFonts w:ascii="Times New Roman" w:eastAsia="Times New Roman" w:hAnsi="Times New Roman" w:cs="Times New Roman"/>
        </w:rPr>
        <w:t xml:space="preserve">¹ </w:t>
      </w:r>
      <w:r>
        <w:rPr>
          <w:rFonts w:ascii="Times New Roman" w:eastAsia="Times New Roman" w:hAnsi="Times New Roman" w:cs="Times New Roman"/>
        </w:rPr>
        <w:t xml:space="preserve">Independent Researcher  </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Corresponding Author:  </w:t>
      </w:r>
    </w:p>
    <w:p w:rsidR="001B7CF1" w:rsidRDefault="007D408E">
      <w:pPr>
        <w:pStyle w:val="Standard"/>
        <w:spacing w:line="480" w:lineRule="auto"/>
        <w:jc w:val="both"/>
      </w:pPr>
      <w:r>
        <w:rPr>
          <w:rFonts w:ascii="Times New Roman" w:eastAsia="Times New Roman" w:hAnsi="Times New Roman" w:cs="Times New Roman"/>
        </w:rPr>
        <w:t xml:space="preserve">Ngo Cheung, MBBS, FHKAM(Psychiatry)  </w:t>
      </w:r>
    </w:p>
    <w:p w:rsidR="001B7CF1" w:rsidRDefault="007D408E">
      <w:pPr>
        <w:pStyle w:val="Standard"/>
        <w:spacing w:line="480" w:lineRule="auto"/>
        <w:jc w:val="both"/>
      </w:pPr>
      <w:r>
        <w:rPr>
          <w:rFonts w:ascii="Times New Roman" w:eastAsia="Times New Roman" w:hAnsi="Times New Roman" w:cs="Times New Roman"/>
        </w:rPr>
        <w:t xml:space="preserve">Hong Kong SAR, China  </w:t>
      </w:r>
    </w:p>
    <w:p w:rsidR="001B7CF1" w:rsidRDefault="007D408E">
      <w:pPr>
        <w:pStyle w:val="Standard"/>
        <w:spacing w:line="480" w:lineRule="auto"/>
        <w:jc w:val="both"/>
      </w:pPr>
      <w:r>
        <w:rPr>
          <w:rFonts w:ascii="Times New Roman" w:eastAsia="Times New Roman" w:hAnsi="Times New Roman" w:cs="Times New Roman"/>
        </w:rPr>
        <w:t xml:space="preserve">Tel: 98768323  </w:t>
      </w:r>
    </w:p>
    <w:p w:rsidR="001B7CF1" w:rsidRDefault="007D408E">
      <w:pPr>
        <w:pStyle w:val="Standard"/>
        <w:spacing w:line="480" w:lineRule="auto"/>
        <w:jc w:val="both"/>
      </w:pPr>
      <w:r>
        <w:rPr>
          <w:rFonts w:ascii="Times New Roman" w:eastAsia="Times New Roman" w:hAnsi="Times New Roman" w:cs="Times New Roman"/>
        </w:rPr>
        <w:t xml:space="preserve">Email: info@cheungngomedical.com  </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b/>
          <w:bCs/>
        </w:rPr>
        <w:t>Conflict of Interest</w:t>
      </w:r>
      <w:r>
        <w:rPr>
          <w:rFonts w:ascii="Times New Roman" w:eastAsia="Times New Roman" w:hAnsi="Times New Roman" w:cs="Times New Roman"/>
        </w:rPr>
        <w:t>: None declared.</w:t>
      </w:r>
    </w:p>
    <w:p w:rsidR="001B7CF1" w:rsidRDefault="007D408E">
      <w:pPr>
        <w:pStyle w:val="Standard"/>
        <w:spacing w:line="480" w:lineRule="auto"/>
        <w:jc w:val="both"/>
      </w:pPr>
      <w:r>
        <w:rPr>
          <w:rFonts w:ascii="Times New Roman" w:eastAsia="Times New Roman" w:hAnsi="Times New Roman" w:cs="Times New Roman"/>
          <w:b/>
          <w:bCs/>
        </w:rPr>
        <w:t>Funding Declaration</w:t>
      </w:r>
      <w:r>
        <w:rPr>
          <w:rFonts w:ascii="Times New Roman" w:eastAsia="Times New Roman" w:hAnsi="Times New Roman" w:cs="Times New Roman"/>
        </w:rPr>
        <w:t xml:space="preserve">: This research received no </w:t>
      </w:r>
      <w:r>
        <w:rPr>
          <w:rFonts w:ascii="Times New Roman" w:eastAsia="Times New Roman" w:hAnsi="Times New Roman" w:cs="Times New Roman"/>
        </w:rPr>
        <w:t xml:space="preserve">specific grant from any funding agency in the public, commercial, or not-for-profit sectors.  </w:t>
      </w:r>
    </w:p>
    <w:p w:rsidR="001B7CF1" w:rsidRDefault="007D408E">
      <w:pPr>
        <w:pStyle w:val="Standard"/>
        <w:spacing w:line="480" w:lineRule="auto"/>
        <w:jc w:val="both"/>
      </w:pPr>
      <w:r>
        <w:rPr>
          <w:rFonts w:ascii="Times New Roman" w:eastAsia="Times New Roman" w:hAnsi="Times New Roman" w:cs="Times New Roman"/>
          <w:b/>
          <w:bCs/>
        </w:rPr>
        <w:t>Ethics Declaration</w:t>
      </w:r>
      <w:r>
        <w:rPr>
          <w:rFonts w:ascii="Times New Roman" w:eastAsia="Times New Roman" w:hAnsi="Times New Roman" w:cs="Times New Roman"/>
        </w:rPr>
        <w:t>: Not applicable.</w:t>
      </w: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1"/>
      </w:pPr>
      <w:bookmarkStart w:id="0" w:name="_egtgyspg478n"/>
      <w:bookmarkEnd w:id="0"/>
      <w:r>
        <w:t>Abstract</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Background: Bipolar disorder (BD) and major depressive disorder (MDD) share genetic overlaps in synaptic and </w:t>
      </w:r>
      <w:r>
        <w:rPr>
          <w:rFonts w:ascii="Times New Roman" w:eastAsia="Times New Roman" w:hAnsi="Times New Roman" w:cs="Times New Roman"/>
        </w:rPr>
        <w:t>immune pathways, yet differ markedly in clinical course—persistent deficits in MDD versus episodic instability in BD. Emerging evidence implicates excessive synaptic pruning as a core mechanism, with recent genetic analyses suggesting inhibition-biased pru</w:t>
      </w:r>
      <w:r>
        <w:rPr>
          <w:rFonts w:ascii="Times New Roman" w:eastAsia="Times New Roman" w:hAnsi="Times New Roman" w:cs="Times New Roman"/>
        </w:rPr>
        <w:t>ning and cognitive reserve amplification drive BD-specific manic vulnerability. Computational models are needed to mechanistically test these hypotheses and evaluate plasticity-enhancing treatments, such as ketamine, which carry differential risks across d</w:t>
      </w:r>
      <w:r>
        <w:rPr>
          <w:rFonts w:ascii="Times New Roman" w:eastAsia="Times New Roman" w:hAnsi="Times New Roman" w:cs="Times New Roman"/>
        </w:rPr>
        <w:t>isorders.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Methods: We developed a gated recurrent unit (GRU)-based neural network simulation to model pruning phenotypes. MDD was induced via severe (95%), unbiased magnitude pruning; BD variants used moderate sparsity (75–85%) with inhibition bias (1.3–2</w:t>
      </w:r>
      <w:r>
        <w:rPr>
          <w:rFonts w:ascii="Times New Roman" w:eastAsia="Times New Roman" w:hAnsi="Times New Roman" w:cs="Times New Roman"/>
        </w:rPr>
        <w:t xml:space="preserve">.0). Cognitive reserve was modulated as a hidden-state scalar, and stress as additive noise. Plasticity treatment was simulated through iterative gradient-guided regrowth (0.4 fraction) and fine-tuning (up to 10 cycles). Outcomes included accuracy, stress </w:t>
      </w:r>
      <w:r>
        <w:rPr>
          <w:rFonts w:ascii="Times New Roman" w:eastAsia="Times New Roman" w:hAnsi="Times New Roman" w:cs="Times New Roman"/>
        </w:rPr>
        <w:t>resilience, excitation/inhibition (E/I) ratios, and instability metrics (variance under sustained drive). Relapse vulnerability was tested via additional pruning (depressive) or reserve amplification (manic).</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Results: Post-pruning, MDD networks showed pro</w:t>
      </w:r>
      <w:r>
        <w:rPr>
          <w:rFonts w:ascii="Times New Roman" w:eastAsia="Times New Roman" w:hAnsi="Times New Roman" w:cs="Times New Roman"/>
        </w:rPr>
        <w:t>found accuracy collapse under stress (27.1% resilience) with balanced E/I (1.02) and low manic variance. BD phenotypes retained baseline accuracy and superior stress resilience (77.9–86.7%) but exhibited reduced E/I (0.09–0.32) and elevated manic variance.</w:t>
      </w:r>
      <w:r>
        <w:rPr>
          <w:rFonts w:ascii="Times New Roman" w:eastAsia="Times New Roman" w:hAnsi="Times New Roman" w:cs="Times New Roman"/>
        </w:rPr>
        <w:t xml:space="preserve"> Chronic treatment restored full function across phenotypes, with BD models showing progressive E/I normalization (e.g., 0.22 to 0.77 in BD-classic). Acute treatment prevented depressive relapse but transiently increased manic variance; chronic regimens pr</w:t>
      </w:r>
      <w:r>
        <w:rPr>
          <w:rFonts w:ascii="Times New Roman" w:eastAsia="Times New Roman" w:hAnsi="Times New Roman" w:cs="Times New Roman"/>
        </w:rPr>
        <w:t>ovided dual protection.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Conclusions: This recurrent simulation supports a unified pruning framework where inhibition-biased moderate pruning yields "pruned-but-potent" circuits prone to manic escalation under reserve load, distinguishing BD from MDD's cap</w:t>
      </w:r>
      <w:r>
        <w:rPr>
          <w:rFonts w:ascii="Times New Roman" w:eastAsia="Times New Roman" w:hAnsi="Times New Roman" w:cs="Times New Roman"/>
        </w:rPr>
        <w:t>acity-loss phenotype. Chronic, iterative plasticity enhancement emerges as superior for BD stability, offering mechanistic rationale for cautious use of rapid-acting glutamatergic agents and emphasizing maintenance therapy.</w:t>
      </w: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1"/>
      </w:pPr>
      <w:bookmarkStart w:id="1" w:name="_eqtrbjcpqjlu"/>
      <w:bookmarkEnd w:id="1"/>
      <w:r>
        <w:t>Introduction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Bipolar disorder</w:t>
      </w:r>
      <w:r>
        <w:rPr>
          <w:rFonts w:ascii="Times New Roman" w:eastAsia="Times New Roman" w:hAnsi="Times New Roman" w:cs="Times New Roman"/>
        </w:rPr>
        <w:t xml:space="preserve"> ranks among the most burdensome psychiatric illnesses, largely because mood swings between mania and depression disrupt every aspect of daily life. Epidemiological surveys indicate a lifetime prevalence of roughly one to two percent, and twin studies plac</w:t>
      </w:r>
      <w:r>
        <w:rPr>
          <w:rFonts w:ascii="Times New Roman" w:eastAsia="Times New Roman" w:hAnsi="Times New Roman" w:cs="Times New Roman"/>
        </w:rPr>
        <w:t xml:space="preserve">e heritability between 60 % and 90 % [1,2,3]. Major depressive disorder shares some genetic risk with bipolar disorder and with schizophrenia, a fact that complicates attempts to map clear-cut, disorder-specific pathways [4]. Large genome-wide association </w:t>
      </w:r>
      <w:r>
        <w:rPr>
          <w:rFonts w:ascii="Times New Roman" w:eastAsia="Times New Roman" w:hAnsi="Times New Roman" w:cs="Times New Roman"/>
        </w:rPr>
        <w:t>studies now point to dozens of risk loci that cluster in synaptic and immune genes, yet the biological events that translate those signals into the episodic course of bipolar disorder, in contrast to the more persistent deficits of major depression, remain</w:t>
      </w:r>
      <w:r>
        <w:rPr>
          <w:rFonts w:ascii="Times New Roman" w:eastAsia="Times New Roman" w:hAnsi="Times New Roman" w:cs="Times New Roman"/>
        </w:rPr>
        <w:t xml:space="preserve"> unsettled [5,2].</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Early theories centered on monoamine imbalance, but recent work highlights synaptic plasticity and glutamate transmission. Interest in these mechanisms grew after ketamine produced rapid antidepressant effects and lithium was shown to mo</w:t>
      </w:r>
      <w:r>
        <w:rPr>
          <w:rFonts w:ascii="Times New Roman" w:eastAsia="Times New Roman" w:hAnsi="Times New Roman" w:cs="Times New Roman"/>
        </w:rPr>
        <w:t>dulate inositol signaling [6,7]. Schizophrenia research, in parallel, has underscored excessive developmental pruning—driven by complement proteins and microglia—as a major cause of lost synapses [8]. Because bipolar disorder shares immune-related risk var</w:t>
      </w:r>
      <w:r>
        <w:rPr>
          <w:rFonts w:ascii="Times New Roman" w:eastAsia="Times New Roman" w:hAnsi="Times New Roman" w:cs="Times New Roman"/>
        </w:rPr>
        <w:t>iants with schizophrenia, pruning has become a compelling candidate mechanism, although direct tests against glutamatergic models are still scarce.</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We [9] recently re-examined large European-ancestry bipolar GWAS data and found that pruning-related gene s</w:t>
      </w:r>
      <w:r>
        <w:rPr>
          <w:rFonts w:ascii="Times New Roman" w:eastAsia="Times New Roman" w:hAnsi="Times New Roman" w:cs="Times New Roman"/>
        </w:rPr>
        <w:t>ets account for the bulk of enrichment even after controlling for glutamatergic overlap. Gene expression analyses showed a bias toward activated microglial pathways. Mendelian randomization further indicated that genetically predicted higher educational at</w:t>
      </w:r>
      <w:r>
        <w:rPr>
          <w:rFonts w:ascii="Times New Roman" w:eastAsia="Times New Roman" w:hAnsi="Times New Roman" w:cs="Times New Roman"/>
        </w:rPr>
        <w:t>tainment—a proxy for cognitive reserve—increases bipolar risk, the opposite of its protective effect in major depression. From these observations, we proposed the "pruned-but-potent" model: moderate, inhibition-skewed pruning leaves circuits lean yet effic</w:t>
      </w:r>
      <w:r>
        <w:rPr>
          <w:rFonts w:ascii="Times New Roman" w:eastAsia="Times New Roman" w:hAnsi="Times New Roman" w:cs="Times New Roman"/>
        </w:rPr>
        <w:t>ient; when combined with high reserve, those circuits are prone to manic over-activation. Severe, unbiased pruning linked to major depression, in contrast, erodes plasticity and leads to persistent deficits.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Clinical observations fit this picture. Many pa</w:t>
      </w:r>
      <w:r>
        <w:rPr>
          <w:rFonts w:ascii="Times New Roman" w:eastAsia="Times New Roman" w:hAnsi="Times New Roman" w:cs="Times New Roman"/>
        </w:rPr>
        <w:t xml:space="preserve">tients who later develop bipolar disorder display above-average school or creative performance before their first episode [10]. But to turn these genetic and epidemiological clues into mechanistic insight, we need computer programs that can model pruning, </w:t>
      </w:r>
      <w:r>
        <w:rPr>
          <w:rFonts w:ascii="Times New Roman" w:eastAsia="Times New Roman" w:hAnsi="Times New Roman" w:cs="Times New Roman"/>
        </w:rPr>
        <w:t>excitation–inhibition balance, and treatment effects all in one place. Many current bipolar models look at mood swings in dynamic systems or use machine learning to predict relapses [11,12]. There are very few, if any, recurrent architectures that have bui</w:t>
      </w:r>
      <w:r>
        <w:rPr>
          <w:rFonts w:ascii="Times New Roman" w:eastAsia="Times New Roman" w:hAnsi="Times New Roman" w:cs="Times New Roman"/>
        </w:rPr>
        <w:t>lt-in pruning mechanisms, and there haven't been many tests of how plasticity-enhancing drugs like ketamine, which are known to have a risk of causing mania, work with those mechanisms [13].</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The present study addresses that gap. We build a </w:t>
      </w:r>
      <w:r>
        <w:rPr>
          <w:rFonts w:ascii="Times New Roman" w:eastAsia="Times New Roman" w:hAnsi="Times New Roman" w:cs="Times New Roman"/>
        </w:rPr>
        <w:t>recurrent neural network that spans both major depression and bipolar disorder by varying pruning intensity, inhibition bias, and cognitive reserve. The model then examines how single versus repeated plasticity-enhancing regimens affect symptom analogues a</w:t>
      </w:r>
      <w:r>
        <w:rPr>
          <w:rFonts w:ascii="Times New Roman" w:eastAsia="Times New Roman" w:hAnsi="Times New Roman" w:cs="Times New Roman"/>
        </w:rPr>
        <w:t>nd relapse risk. In doing so, we aim to provide a computational test of the pruned-but-potent hypothesis and to generate predictions that can guide future work on glutamatergic treatments in mood disorders.</w:t>
      </w: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1"/>
      </w:pPr>
      <w:bookmarkStart w:id="2" w:name="_l6shmi8dh6vl"/>
      <w:bookmarkEnd w:id="2"/>
      <w:r>
        <w:t>Methods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3" w:name="_4kohqlh8dd9k"/>
      <w:bookmarkEnd w:id="3"/>
      <w:r>
        <w:t>Computational Simulation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All </w:t>
      </w:r>
      <w:r>
        <w:rPr>
          <w:rFonts w:ascii="Times New Roman" w:eastAsia="Times New Roman" w:hAnsi="Times New Roman" w:cs="Times New Roman"/>
        </w:rPr>
        <w:t>experiments were written in Python with PyTorch [14]. To guarantee that results can be reproduced, the NumPy and PyTorch random generators were both initialised with the seed value 42. Training and evaluation ran on a standard CPU, although the code is ful</w:t>
      </w:r>
      <w:r>
        <w:rPr>
          <w:rFonts w:ascii="Times New Roman" w:eastAsia="Times New Roman" w:hAnsi="Times New Roman" w:cs="Times New Roman"/>
        </w:rPr>
        <w:t>ly compatible with GPU hardware. The implementation draws on pruning work showing that sparse subnetworks can match the accuracy of dense models [15] and on dynamic sparse-training routines that alternate between removing and regrowing weights [16].</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4" w:name="_p8kb2hvn2up0"/>
      <w:bookmarkEnd w:id="4"/>
      <w:r>
        <w:t xml:space="preserve">Task </w:t>
      </w:r>
      <w:r>
        <w:t>and Data Generation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The task was a four-class Gaussian-blob classification problem. Class centres were placed at (-3, -3), (-3, 3), (3, -3) and (3, 3) in a two-dimensional space. Unless noted otherwise, input samples carried Gaussian noise with a standard</w:t>
      </w:r>
      <w:r>
        <w:rPr>
          <w:rFonts w:ascii="Times New Roman" w:eastAsia="Times New Roman" w:hAnsi="Times New Roman" w:cs="Times New Roman"/>
        </w:rPr>
        <w:t xml:space="preserve"> deviation of 0.8. For the feed-forward condition, 12 000 examples were used for training, 4 000 for testing, and an additional 2 000 "clean" test items contained no noise. To evaluate temporal processing, a sequential version was built in which each seque</w:t>
      </w:r>
      <w:r>
        <w:rPr>
          <w:rFonts w:ascii="Times New Roman" w:eastAsia="Times New Roman" w:hAnsi="Times New Roman" w:cs="Times New Roman"/>
        </w:rPr>
        <w:t>nce of length 10 repeated noisy draws from the same class, creating within-sequence correlations. Mini-batches contained 128 items during training and up to 1 000 items during evaluation.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5" w:name="_8ww8j5hmcbo4"/>
      <w:bookmarkEnd w:id="5"/>
      <w:r>
        <w:t>Network Architectures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Two models were evaluated.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Feed-forward net</w:t>
      </w:r>
      <w:r>
        <w:rPr>
          <w:rFonts w:ascii="Times New Roman" w:eastAsia="Times New Roman" w:hAnsi="Times New Roman" w:cs="Times New Roman"/>
        </w:rPr>
        <w:t>work (major-depression baseline): four fully connected layers with 512, 512 and 256 hidden units, ReLU activations, and Gaussian noise injected after each hidden activation to mimic stress.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Recurrent network (bipolar simulations): an input projection mapp</w:t>
      </w:r>
      <w:r>
        <w:rPr>
          <w:rFonts w:ascii="Times New Roman" w:eastAsia="Times New Roman" w:hAnsi="Times New Roman" w:cs="Times New Roman"/>
        </w:rPr>
        <w:t>ed the two-dimensional sample to a 128-unit embedding, followed by a two-layer gated recurrent unit (GRU; [17]) with 256 hidden units and batch-first formatting. The last hidden state was sent to a linear output layer. Circuit "reserve" was modelled by mul</w:t>
      </w:r>
      <w:r>
        <w:rPr>
          <w:rFonts w:ascii="Times New Roman" w:eastAsia="Times New Roman" w:hAnsi="Times New Roman" w:cs="Times New Roman"/>
        </w:rPr>
        <w:t>tiplying all GRU outputs by a scalar that ranged from 0.6 to 1.8. Internal stress was represented as additive Gaussian noise on hidden states. Positive weights were treated as excitatory, negative weights as inhibitory, which allowed an excitation-to-inhib</w:t>
      </w:r>
      <w:r>
        <w:rPr>
          <w:rFonts w:ascii="Times New Roman" w:eastAsia="Times New Roman" w:hAnsi="Times New Roman" w:cs="Times New Roman"/>
        </w:rPr>
        <w:t>ition (E/I) ratio to be computed.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6" w:name="_h91s95jgewme"/>
      <w:bookmarkEnd w:id="6"/>
      <w:r>
        <w:t>Pruning and Phenotype Induction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Weights were pruned by magnitude, with an optional multiplier that preferentially removed inhibitory (negative) connections. A layer-specific threshold deleted the desired fraction of para</w:t>
      </w:r>
      <w:r>
        <w:rPr>
          <w:rFonts w:ascii="Times New Roman" w:eastAsia="Times New Roman" w:hAnsi="Times New Roman" w:cs="Times New Roman"/>
        </w:rPr>
        <w:t>meters by setting their mask value to zero. Four sparsity patterns were imposed: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numPr>
          <w:ilvl w:val="0"/>
          <w:numId w:val="2"/>
        </w:numPr>
        <w:spacing w:line="480" w:lineRule="auto"/>
        <w:jc w:val="both"/>
      </w:pPr>
      <w:r>
        <w:rPr>
          <w:rFonts w:ascii="Times New Roman" w:eastAsia="Times New Roman" w:hAnsi="Times New Roman" w:cs="Times New Roman"/>
        </w:rPr>
        <w:t>Major depressive disorder (MDD): 95 % of weights removed, no bias.</w:t>
      </w:r>
    </w:p>
    <w:p w:rsidR="001B7CF1" w:rsidRDefault="007D408E">
      <w:pPr>
        <w:pStyle w:val="Standard"/>
        <w:numPr>
          <w:ilvl w:val="0"/>
          <w:numId w:val="1"/>
        </w:numPr>
        <w:spacing w:line="480" w:lineRule="auto"/>
        <w:jc w:val="both"/>
      </w:pPr>
      <w:r>
        <w:rPr>
          <w:rFonts w:ascii="Times New Roman" w:eastAsia="Times New Roman" w:hAnsi="Times New Roman" w:cs="Times New Roman"/>
        </w:rPr>
        <w:t>Bipolar depressive: 85 % removed, inhibition bias = 1.3.</w:t>
      </w:r>
    </w:p>
    <w:p w:rsidR="001B7CF1" w:rsidRDefault="007D408E">
      <w:pPr>
        <w:pStyle w:val="Standard"/>
        <w:numPr>
          <w:ilvl w:val="0"/>
          <w:numId w:val="1"/>
        </w:numPr>
        <w:spacing w:line="480" w:lineRule="auto"/>
        <w:jc w:val="both"/>
      </w:pPr>
      <w:r>
        <w:rPr>
          <w:rFonts w:ascii="Times New Roman" w:eastAsia="Times New Roman" w:hAnsi="Times New Roman" w:cs="Times New Roman"/>
        </w:rPr>
        <w:t>Bipolar classic: 80 % removed, bias = 1.5.</w:t>
      </w:r>
    </w:p>
    <w:p w:rsidR="001B7CF1" w:rsidRDefault="007D408E">
      <w:pPr>
        <w:pStyle w:val="Standard"/>
        <w:numPr>
          <w:ilvl w:val="0"/>
          <w:numId w:val="1"/>
        </w:numPr>
        <w:spacing w:line="480" w:lineRule="auto"/>
        <w:jc w:val="both"/>
      </w:pPr>
      <w:r>
        <w:rPr>
          <w:rFonts w:ascii="Times New Roman" w:eastAsia="Times New Roman" w:hAnsi="Times New Roman" w:cs="Times New Roman"/>
        </w:rPr>
        <w:t>Bipolar manic: 75 % removed, bias = 2.0.</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The bipolar settings therefore produced circuits that were lean but relatively disinhibited, consistent with the "pruned-but-potent" hypothesis.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7" w:name="_5j4b9fr7xws3"/>
      <w:bookmarkEnd w:id="7"/>
      <w:r>
        <w:t>Treatment Simulation (Plasticity Enhancement)</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Plasticity-enhancing </w:t>
      </w:r>
      <w:r>
        <w:rPr>
          <w:rFonts w:ascii="Times New Roman" w:eastAsia="Times New Roman" w:hAnsi="Times New Roman" w:cs="Times New Roman"/>
        </w:rPr>
        <w:t>therapy was emulated through cycles of gradient-guided regrowth. During each cycle, gradients were accumulated for 30 mini-batches at the positions that had been pruned. The 40 % highest-gradient connections were reinstated with small random values (standa</w:t>
      </w:r>
      <w:r>
        <w:rPr>
          <w:rFonts w:ascii="Times New Roman" w:eastAsia="Times New Roman" w:hAnsi="Times New Roman" w:cs="Times New Roman"/>
        </w:rPr>
        <w:t>rd deviation = 0.03). A short consolidation period of five epochs followed, trained with Adam at a learning rate of 0.0005. One cycle modelled an acute intervention, whereas three, six or ten cycles represented chronic treatment.</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8" w:name="_agup3zkr5res"/>
      <w:bookmarkEnd w:id="8"/>
      <w:r>
        <w:t>Evaluation Metrics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Stand</w:t>
      </w:r>
      <w:r>
        <w:rPr>
          <w:rFonts w:ascii="Times New Roman" w:eastAsia="Times New Roman" w:hAnsi="Times New Roman" w:cs="Times New Roman"/>
        </w:rPr>
        <w:t>ard accuracy was recorded on both clean and noisy test sets across internal-noise levels from 0 to 1.5 and across reserve factors from 0.6 to 1.8. Instability was quantified by feeding the constant input vector [1.5, 1.5] for 30 steps, then measuring hidde</w:t>
      </w:r>
      <w:r>
        <w:rPr>
          <w:rFonts w:ascii="Times New Roman" w:eastAsia="Times New Roman" w:hAnsi="Times New Roman" w:cs="Times New Roman"/>
        </w:rPr>
        <w:t>n-state variance, peak magnitude, growth slope and whether the norm exceeded 10^6 (explosion). The global E/I ratio was calculated as the count of active positive divided by active negative weights.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9" w:name="_eiypqtwiwe8"/>
      <w:bookmarkEnd w:id="9"/>
      <w:r>
        <w:t>Experimental Protocols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MDD baseline: the feed-forward m</w:t>
      </w:r>
      <w:r>
        <w:rPr>
          <w:rFonts w:ascii="Times New Roman" w:eastAsia="Times New Roman" w:hAnsi="Times New Roman" w:cs="Times New Roman"/>
        </w:rPr>
        <w:t>odel was trained for 20 epochs at a learning rate of 0.001, pruned to 95 % sparsity, evaluated, given one regrowth cycle that reinstated 50 % of the pruned weights, and fine-tuned for 15 additional epochs.</w:t>
      </w:r>
    </w:p>
    <w:p w:rsidR="001B7CF1" w:rsidRDefault="007D408E">
      <w:pPr>
        <w:pStyle w:val="Standard"/>
        <w:spacing w:line="480" w:lineRule="auto"/>
        <w:jc w:val="both"/>
      </w:pPr>
      <w:r>
        <w:rPr>
          <w:rFonts w:ascii="Times New Roman" w:eastAsia="Times New Roman" w:hAnsi="Times New Roman" w:cs="Times New Roman"/>
        </w:rPr>
        <w:t>Unified phenotype comparison: for each of the four</w:t>
      </w:r>
      <w:r>
        <w:rPr>
          <w:rFonts w:ascii="Times New Roman" w:eastAsia="Times New Roman" w:hAnsi="Times New Roman" w:cs="Times New Roman"/>
        </w:rPr>
        <w:t xml:space="preserve"> phenotypes, a GRU model was trained from scratch, pruned with the specified parameters, and evaluated on accuracy, stress resilience and instability at reserve 1.8. Up to ten treatment cycles were then applied with evaluation after each cycle.</w:t>
      </w:r>
    </w:p>
    <w:p w:rsidR="001B7CF1" w:rsidRDefault="007D408E">
      <w:pPr>
        <w:pStyle w:val="Standard"/>
        <w:spacing w:line="480" w:lineRule="auto"/>
        <w:jc w:val="both"/>
      </w:pPr>
      <w:r>
        <w:rPr>
          <w:rFonts w:ascii="Times New Roman" w:eastAsia="Times New Roman" w:hAnsi="Times New Roman" w:cs="Times New Roman"/>
        </w:rPr>
        <w:t>Bipolar rel</w:t>
      </w:r>
      <w:r>
        <w:rPr>
          <w:rFonts w:ascii="Times New Roman" w:eastAsia="Times New Roman" w:hAnsi="Times New Roman" w:cs="Times New Roman"/>
        </w:rPr>
        <w:t>apse study: the bipolar-classic network received up to ten treatment cycles. Depressive relapse was induced by removing a further 30 % of the remaining weights with unbiased pruning and adding stress; the accuracy drop was recorded. Manic relapse was asses</w:t>
      </w:r>
      <w:r>
        <w:rPr>
          <w:rFonts w:ascii="Times New Roman" w:eastAsia="Times New Roman" w:hAnsi="Times New Roman" w:cs="Times New Roman"/>
        </w:rPr>
        <w:t>sed by rerunning the instability test at reserve 1.8.</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All post-training evaluations were deterministic, and reported metrics are averages where appropriate.</w:t>
      </w: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1"/>
      </w:pPr>
      <w:bookmarkStart w:id="10" w:name="_jhyk4wuwrsjj"/>
      <w:bookmarkEnd w:id="10"/>
      <w:r>
        <w:t>Results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1" w:name="_4vto1l18w11t"/>
      <w:bookmarkEnd w:id="11"/>
      <w:r>
        <w:t>Baseline Major Depressive Disorder Simulation (feed-forward model)</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The dense </w:t>
      </w:r>
      <w:r>
        <w:rPr>
          <w:rFonts w:ascii="Times New Roman" w:eastAsia="Times New Roman" w:hAnsi="Times New Roman" w:cs="Times New Roman"/>
        </w:rPr>
        <w:t xml:space="preserve">feed-forward network, trained before any pruning, classified every clean and stressed input correctly (100 % accuracy in both cases) while containing 396 548 trainable parameters. Removing 95 % of the weights with magnitude-based, unbiased pruning reduced </w:t>
      </w:r>
      <w:r>
        <w:rPr>
          <w:rFonts w:ascii="Times New Roman" w:eastAsia="Times New Roman" w:hAnsi="Times New Roman" w:cs="Times New Roman"/>
        </w:rPr>
        <w:t>performance sharply: accuracy fell to 43.9 % on the clean test set and to 29.6 % under severe stress. A single episode of gradient-guided synaptogenesis that reinstated half of the deleted connections, followed by fine-tuning, restored the network to near-</w:t>
      </w:r>
      <w:r>
        <w:rPr>
          <w:rFonts w:ascii="Times New Roman" w:eastAsia="Times New Roman" w:hAnsi="Times New Roman" w:cs="Times New Roman"/>
        </w:rPr>
        <w:t>full function (100 % clean accuracy; 95.4 % under stress). These observations confirm that massive, unspecific synaptic loss produces an abrupt functional breakdown that can be reversed once plasticity is re-enabled.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2" w:name="_ry74yceb9ifc"/>
      <w:bookmarkEnd w:id="12"/>
      <w:r>
        <w:t>Post-pruning phenotype profiles in rec</w:t>
      </w:r>
      <w:r>
        <w:t>urrent networks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Immediately after phenotype-specific pruning, but prior to any treatment, the gated-recurrent-unit models showed strikingly different behaviour (Table 1).</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Major depressive disorder (95 % sparsity, no inhibitory bias) was almost unable to </w:t>
      </w:r>
      <w:r>
        <w:rPr>
          <w:rFonts w:ascii="Times New Roman" w:eastAsia="Times New Roman" w:hAnsi="Times New Roman" w:cs="Times New Roman"/>
        </w:rPr>
        <w:t>solve the task: clean accuracy reached only 25.3 %, resilience under severe stress 27.1 %, and the variance of hidden states during a manic-drive probe remained negligible (8.9 × 10⁻³). The excitation-to-inhibition (E/I) ratio stayed balanced at 1.02.</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noProof/>
        </w:rPr>
        <w:drawing>
          <wp:inline distT="0" distB="0" distL="0" distR="0">
            <wp:extent cx="5630052" cy="1843521"/>
            <wp:effectExtent l="0" t="0" r="8748" b="4329"/>
            <wp:docPr id="1" name="image4.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l="17604" r="17438" b="60116"/>
                    <a:stretch>
                      <a:fillRect/>
                    </a:stretch>
                  </pic:blipFill>
                  <pic:spPr>
                    <a:xfrm>
                      <a:off x="0" y="0"/>
                      <a:ext cx="5630052" cy="1843521"/>
                    </a:xfrm>
                    <a:prstGeom prst="rect">
                      <a:avLst/>
                    </a:prstGeom>
                    <a:noFill/>
                    <a:ln>
                      <a:noFill/>
                      <a:prstDash/>
                    </a:ln>
                  </pic:spPr>
                </pic:pic>
              </a:graphicData>
            </a:graphic>
          </wp:inline>
        </w:drawing>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All three bipolar variants—depressive (85 % sparsity, bias 1.3), classic (80 %, bias 1.5) and manic (75 %, bias 2.0)—retained perfect accuracy on the noise-free data. Under severe stress, accuracy declined but remained far above the MDD level (77.9 %, 86.</w:t>
      </w:r>
      <w:r>
        <w:rPr>
          <w:rFonts w:ascii="Times New Roman" w:eastAsia="Times New Roman" w:hAnsi="Times New Roman" w:cs="Times New Roman"/>
        </w:rPr>
        <w:t>7 % and 81.5 %, respectively). As pruning was increasingly skewed toward inhibitory weights, the E/I ratio fell from 0.32 in the depressive variant to 0.22 in the classic and 0.09 in the manic condition. Hidden-state variance during manic drive rose for th</w:t>
      </w:r>
      <w:r>
        <w:rPr>
          <w:rFonts w:ascii="Times New Roman" w:eastAsia="Times New Roman" w:hAnsi="Times New Roman" w:cs="Times New Roman"/>
        </w:rPr>
        <w:t>e depressive and classic forms (1.7 × 10⁻¹ and 1.5 × 10⁻¹) but not for the manic form (2.9 × 10⁻²), and no network exploded at this stage.</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3" w:name="_b77oyt2slqji"/>
      <w:bookmarkEnd w:id="13"/>
      <w:r>
        <w:t>Response to iterative plasticity treatment</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Repeated cycles of gradient-guided regrowth produced a gradual but compr</w:t>
      </w:r>
      <w:r>
        <w:rPr>
          <w:rFonts w:ascii="Times New Roman" w:eastAsia="Times New Roman" w:hAnsi="Times New Roman" w:cs="Times New Roman"/>
        </w:rPr>
        <w:t>ehensive recovery in every phenotype (Table 2). After ten cycles, sparsity values converged on roughly 0.5 %, all models scored 100 % in the severe-stress test, and hidden-state variance normalised to healthy values (≈ 2.7–2.8). The path to that end point,</w:t>
      </w:r>
      <w:r>
        <w:rPr>
          <w:rFonts w:ascii="Times New Roman" w:eastAsia="Times New Roman" w:hAnsi="Times New Roman" w:cs="Times New Roman"/>
        </w:rPr>
        <w:t xml:space="preserve"> however, differed.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In the heavily pruned MDD model, one treatment cycle was enough to regain full stress resilience, and the E/I ratio stayed near unity throughout. The bipolar models improved more slowly and showed a characteristic rebalancing of inhibi</w:t>
      </w:r>
      <w:r>
        <w:rPr>
          <w:rFonts w:ascii="Times New Roman" w:eastAsia="Times New Roman" w:hAnsi="Times New Roman" w:cs="Times New Roman"/>
        </w:rPr>
        <w:t>tion: for example, the classic variant's E/I ratio rose from 0.22 after pruning to 0.77 after ten cycles, and the manic variant climbed from 0.09 to 0.66. Variance under manic drive followed the same trend, settling at normative levels only after prolonged</w:t>
      </w:r>
      <w:r>
        <w:rPr>
          <w:rFonts w:ascii="Times New Roman" w:eastAsia="Times New Roman" w:hAnsi="Times New Roman" w:cs="Times New Roman"/>
        </w:rPr>
        <w:t xml:space="preserve"> treatment.</w:t>
      </w:r>
    </w:p>
    <w:p w:rsidR="001B7CF1" w:rsidRDefault="007D408E">
      <w:pPr>
        <w:pStyle w:val="Standard"/>
        <w:spacing w:line="480" w:lineRule="auto"/>
        <w:jc w:val="both"/>
      </w:pPr>
      <w:r>
        <w:rPr>
          <w:noProof/>
        </w:rPr>
        <w:drawing>
          <wp:inline distT="0" distB="0" distL="0" distR="0">
            <wp:extent cx="5671108" cy="1833097"/>
            <wp:effectExtent l="0" t="0" r="5792" b="0"/>
            <wp:docPr id="2" name="image3.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l="16773" r="16940" b="59805"/>
                    <a:stretch>
                      <a:fillRect/>
                    </a:stretch>
                  </pic:blipFill>
                  <pic:spPr>
                    <a:xfrm>
                      <a:off x="0" y="0"/>
                      <a:ext cx="5671108" cy="1833097"/>
                    </a:xfrm>
                    <a:prstGeom prst="rect">
                      <a:avLst/>
                    </a:prstGeom>
                    <a:noFill/>
                    <a:ln>
                      <a:noFill/>
                      <a:prstDash/>
                    </a:ln>
                  </pic:spPr>
                </pic:pic>
              </a:graphicData>
            </a:graphic>
          </wp:inline>
        </w:drawing>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4" w:name="_nv2ytdv0g1wa"/>
      <w:bookmarkEnd w:id="14"/>
      <w:r>
        <w:t>Relapse sensitivity of the bipolar-classic network</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The bipolar-classic phenotype was examined in more detail to compare depressive and manic relapse risks (Table 3).</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noProof/>
        </w:rPr>
        <w:drawing>
          <wp:inline distT="0" distB="0" distL="0" distR="0">
            <wp:extent cx="5645871" cy="1905518"/>
            <wp:effectExtent l="0" t="0" r="0" b="0"/>
            <wp:docPr id="3" name="image2.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l="17272" r="17272" b="58687"/>
                    <a:stretch>
                      <a:fillRect/>
                    </a:stretch>
                  </pic:blipFill>
                  <pic:spPr>
                    <a:xfrm>
                      <a:off x="0" y="0"/>
                      <a:ext cx="5645871" cy="1905518"/>
                    </a:xfrm>
                    <a:prstGeom prst="rect">
                      <a:avLst/>
                    </a:prstGeom>
                    <a:noFill/>
                    <a:ln>
                      <a:noFill/>
                      <a:prstDash/>
                    </a:ln>
                  </pic:spPr>
                </pic:pic>
              </a:graphicData>
            </a:graphic>
          </wp:inline>
        </w:drawing>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Depressive relapse was simulated by pruning an additional 30 % of the </w:t>
      </w:r>
      <w:r>
        <w:rPr>
          <w:rFonts w:ascii="Times New Roman" w:eastAsia="Times New Roman" w:hAnsi="Times New Roman" w:cs="Times New Roman"/>
        </w:rPr>
        <w:t>remaining weights and adding external stress. In the untreated network this manoeuvre reduced accuracy by seven percentage points; either one or ten treatment cycles eliminated the drop entirely.</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Manic relapse was probed by amplifying cognitive reserve to</w:t>
      </w:r>
      <w:r>
        <w:rPr>
          <w:rFonts w:ascii="Times New Roman" w:eastAsia="Times New Roman" w:hAnsi="Times New Roman" w:cs="Times New Roman"/>
        </w:rPr>
        <w:t xml:space="preserve"> 1.8. Without treatment, hidden-state variance was low (3.4 × 10⁻²). A single treatment cycle raised variance to 1.9, indicating transient over-activation, whereas ten cycles produced a further increase to 2.8—close to the stable baseline seen in fully rec</w:t>
      </w:r>
      <w:r>
        <w:rPr>
          <w:rFonts w:ascii="Times New Roman" w:eastAsia="Times New Roman" w:hAnsi="Times New Roman" w:cs="Times New Roman"/>
        </w:rPr>
        <w:t>overed networks—while also delivering the best E/I balance (0.77). None of the models became unstable enough to reach the predefined threshold.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Taken together, the data show that plasticity-enhancing regrowth protects against depressive </w:t>
      </w:r>
      <w:r>
        <w:rPr>
          <w:rFonts w:ascii="Times New Roman" w:eastAsia="Times New Roman" w:hAnsi="Times New Roman" w:cs="Times New Roman"/>
        </w:rPr>
        <w:t>deterioration regardless of dosage but controls manic vulnerability only when applied repeatedly, a benefit that parallels the progressive restoration of inhibitory connectivity.</w:t>
      </w: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1"/>
      </w:pPr>
      <w:bookmarkStart w:id="15" w:name="_whle89c2u3p0"/>
      <w:bookmarkEnd w:id="15"/>
      <w:r>
        <w:t>Discussion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6" w:name="_sge6lr6hua55"/>
      <w:bookmarkEnd w:id="16"/>
      <w:r>
        <w:t>Interpretation of Results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Our simulation work lends new, compu</w:t>
      </w:r>
      <w:r>
        <w:rPr>
          <w:rFonts w:ascii="Times New Roman" w:eastAsia="Times New Roman" w:hAnsi="Times New Roman" w:cs="Times New Roman"/>
        </w:rPr>
        <w:t>ter-based support to the idea that abnormal synaptic pruning separates bipolar disorder (BD) from major depressive disorder (MDD) (Figure 1). When we trimmed connections in different ways—severe and even-handed for MDD, milder but tilted toward loss of inh</w:t>
      </w:r>
      <w:r>
        <w:rPr>
          <w:rFonts w:ascii="Times New Roman" w:eastAsia="Times New Roman" w:hAnsi="Times New Roman" w:cs="Times New Roman"/>
        </w:rPr>
        <w:t>ibition for BD—the two illnesses behaved very differently. After the MDD-style pruning, networks looked stable until a stressful load arrived; at that point they collapsed almost all at once and showed little hidden capacity for recovery. By contrast, BD-s</w:t>
      </w:r>
      <w:r>
        <w:rPr>
          <w:rFonts w:ascii="Times New Roman" w:eastAsia="Times New Roman" w:hAnsi="Times New Roman" w:cs="Times New Roman"/>
        </w:rPr>
        <w:t>tyle networks ran smoothly in ordinary conditions and withstood stress, yet they became unusually vulnerable when we increased "cognitive reserve," the model's stand-in for premorbid efficiency or neuromodulatory drive. These results echo our "pruned-but-p</w:t>
      </w:r>
      <w:r>
        <w:rPr>
          <w:rFonts w:ascii="Times New Roman" w:eastAsia="Times New Roman" w:hAnsi="Times New Roman" w:cs="Times New Roman"/>
        </w:rPr>
        <w:t>otent" proposal [9], which argues that BD mainly reflects selective loss of inhibitory synapses. The remaining circuitry works well—sometimes too well—so any boost in excitatory drive can push the system into runaway activity.</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Our previous genetic work pl</w:t>
      </w:r>
      <w:r>
        <w:rPr>
          <w:rFonts w:ascii="Times New Roman" w:eastAsia="Times New Roman" w:hAnsi="Times New Roman" w:cs="Times New Roman"/>
        </w:rPr>
        <w:t>aces the pruning machinery, especially microglial and complement pathways, at the center of BD risk and shows that higher educational attainment magnifies that risk. Our current model adds a mechanistic layer: an inhibition-to-excitation pruning ratio betw</w:t>
      </w:r>
      <w:r>
        <w:rPr>
          <w:rFonts w:ascii="Times New Roman" w:eastAsia="Times New Roman" w:hAnsi="Times New Roman" w:cs="Times New Roman"/>
        </w:rPr>
        <w:t>een 1.3 and 2.0 was enough to recreate the manic-like swings. Recurrent feedback was crucial; with every loop the imbalance in excitation and inhibition grew, producing sustained volatility much like the mood cycling described in recent mathematical treatm</w:t>
      </w:r>
      <w:r>
        <w:rPr>
          <w:rFonts w:ascii="Times New Roman" w:eastAsia="Times New Roman" w:hAnsi="Times New Roman" w:cs="Times New Roman"/>
        </w:rPr>
        <w:t>ents of BD [11]. In practical terms, the findings explain how people who start life with strong cognitive skills can later face episodic mania—their efficient but inhibition-light networks are fine until extra drive arrives.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Two genes stood out in the bip</w:t>
      </w:r>
      <w:r>
        <w:rPr>
          <w:rFonts w:ascii="Times New Roman" w:eastAsia="Times New Roman" w:hAnsi="Times New Roman" w:cs="Times New Roman"/>
        </w:rPr>
        <w:t>olar disorder (BD) analyses—CD68 and MAP1LC3A [9]. Both mark activated microglia and autophagy, and each showed higher predicted expression in BD but not in major depressive disorder (MDD). That pattern fits neatly with the computational results reviewed e</w:t>
      </w:r>
      <w:r>
        <w:rPr>
          <w:rFonts w:ascii="Times New Roman" w:eastAsia="Times New Roman" w:hAnsi="Times New Roman" w:cs="Times New Roman"/>
        </w:rPr>
        <w:t>arlier. If microglial pruning is cranked up in BD, and if the excess trimming falls disproportionately on inhibitory terminals, the surviving network would lean toward excitation and become easier to push into unstable states.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Complement and major-histoco</w:t>
      </w:r>
      <w:r>
        <w:rPr>
          <w:rFonts w:ascii="Times New Roman" w:eastAsia="Times New Roman" w:hAnsi="Times New Roman" w:cs="Times New Roman"/>
        </w:rPr>
        <w:t xml:space="preserve">mpatibility genes such as C4A and HLA-B/C add another layer. They carry risk for both illnesses, yet their expression did not differ in the MDD data sets examined. In other words, the complement pathway may act downstream of other processes in depression, </w:t>
      </w:r>
      <w:r>
        <w:rPr>
          <w:rFonts w:ascii="Times New Roman" w:eastAsia="Times New Roman" w:hAnsi="Times New Roman" w:cs="Times New Roman"/>
        </w:rPr>
        <w:t>whereas in BD it could magnify an already overactive neuroimmune signal. The combined picture is one in which BD inherits a primary microglial drive that gears the brain toward episodic volatility when cognitive demand rises, while MDD follows a different,</w:t>
      </w:r>
      <w:r>
        <w:rPr>
          <w:rFonts w:ascii="Times New Roman" w:eastAsia="Times New Roman" w:hAnsi="Times New Roman" w:cs="Times New Roman"/>
        </w:rPr>
        <w:t xml:space="preserve"> more plasticity-oriented path.</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The treatment experiments help clarify why rapid plasticity agents such as ketamine give mixed results in BD. A single simulated dose quickly rebuilt synapses and guarded against the depressive crash in both illnesses, but </w:t>
      </w:r>
      <w:r>
        <w:rPr>
          <w:rFonts w:ascii="Times New Roman" w:eastAsia="Times New Roman" w:hAnsi="Times New Roman" w:cs="Times New Roman"/>
        </w:rPr>
        <w:t xml:space="preserve">in BD it also widened manic fluctuations, mirroring clinical reports of switches after ketamine infusions [13]. Repeated doses of lower amplitude told a different story: over time, activity-dependent regrowth restored inhibitory balance, lowering the risk </w:t>
      </w:r>
      <w:r>
        <w:rPr>
          <w:rFonts w:ascii="Times New Roman" w:eastAsia="Times New Roman" w:hAnsi="Times New Roman" w:cs="Times New Roman"/>
        </w:rPr>
        <w:t>of both depression and mania. This gradual repair reinforces the emerging consensus that maintenance therapy, rather than a singular intervention, is essential for sustaining remission in bipolar disorder [12].</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center"/>
      </w:pPr>
      <w:r>
        <w:rPr>
          <w:noProof/>
        </w:rPr>
        <w:drawing>
          <wp:inline distT="0" distB="0" distL="0" distR="0">
            <wp:extent cx="3414278" cy="7961040"/>
            <wp:effectExtent l="0" t="0" r="0" b="1860"/>
            <wp:docPr id="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3414278" cy="7961040"/>
                    </a:xfrm>
                    <a:prstGeom prst="rect">
                      <a:avLst/>
                    </a:prstGeom>
                    <a:noFill/>
                    <a:ln>
                      <a:noFill/>
                      <a:prstDash/>
                    </a:ln>
                  </pic:spPr>
                </pic:pic>
              </a:graphicData>
            </a:graphic>
          </wp:inline>
        </w:drawing>
      </w:r>
    </w:p>
    <w:p w:rsidR="001B7CF1" w:rsidRDefault="007D408E">
      <w:pPr>
        <w:pStyle w:val="Standard"/>
        <w:spacing w:line="480" w:lineRule="auto"/>
        <w:jc w:val="both"/>
      </w:pPr>
      <w:r>
        <w:rPr>
          <w:rFonts w:ascii="Times New Roman" w:eastAsia="Times New Roman" w:hAnsi="Times New Roman" w:cs="Times New Roman"/>
          <w:b/>
          <w:bCs/>
          <w:i/>
          <w:iCs/>
          <w:sz w:val="16"/>
          <w:szCs w:val="16"/>
        </w:rPr>
        <w:t>Figure 1</w:t>
      </w:r>
      <w:r>
        <w:rPr>
          <w:rFonts w:ascii="Times New Roman" w:eastAsia="Times New Roman" w:hAnsi="Times New Roman" w:cs="Times New Roman"/>
          <w:i/>
          <w:iCs/>
          <w:sz w:val="16"/>
          <w:szCs w:val="16"/>
        </w:rPr>
        <w:t>: The "Pruned-but-Potent" Hypothes</w:t>
      </w:r>
      <w:r>
        <w:rPr>
          <w:rFonts w:ascii="Times New Roman" w:eastAsia="Times New Roman" w:hAnsi="Times New Roman" w:cs="Times New Roman"/>
          <w:i/>
          <w:iCs/>
          <w:sz w:val="16"/>
          <w:szCs w:val="16"/>
        </w:rPr>
        <w:t xml:space="preserve">is. A mechanistic comparison of how genetic drivers and synaptic pruning styles differentiate Bipolar Disorder (volatile, low-inhibition networks) from Major Depressive Disorder (fragile, low-capacity networks), with implications for rapid vs. maintenance </w:t>
      </w:r>
      <w:r>
        <w:rPr>
          <w:rFonts w:ascii="Times New Roman" w:eastAsia="Times New Roman" w:hAnsi="Times New Roman" w:cs="Times New Roman"/>
          <w:i/>
          <w:iCs/>
          <w:sz w:val="16"/>
          <w:szCs w:val="16"/>
        </w:rPr>
        <w:t>therapy.</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Current guidelines already recommend long maintenance periods, often lifelong after multiple episodes [18,19]. Machine-learning models that forecast relapse with 70–80 % accuracy [20,21] could be paired with these insights to fine-tune dosing sch</w:t>
      </w:r>
      <w:r>
        <w:rPr>
          <w:rFonts w:ascii="Times New Roman" w:eastAsia="Times New Roman" w:hAnsi="Times New Roman" w:cs="Times New Roman"/>
        </w:rPr>
        <w:t>edules. The main clinical message is straightforward: powerful glutamatergic boosts delivered too rapidly may destabilize BD circuits that are "potent but under-inhibited," whereas slower, steady interventions—ideally combined with mood stabilizers that pr</w:t>
      </w:r>
      <w:r>
        <w:rPr>
          <w:rFonts w:ascii="Times New Roman" w:eastAsia="Times New Roman" w:hAnsi="Times New Roman" w:cs="Times New Roman"/>
        </w:rPr>
        <w:t>otect the excitation/inhibition ratio—offer a safer route.</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7" w:name="_2sfnudxdgvl2"/>
      <w:bookmarkEnd w:id="17"/>
      <w:r>
        <w:t>Novelty of the Modeling Approach</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The present work combines ideas that have usually lived in separate corners of computational psychiatry. Earlier studies looked at synaptic pruning in depression </w:t>
      </w:r>
      <w:r>
        <w:rPr>
          <w:rFonts w:ascii="Times New Roman" w:eastAsia="Times New Roman" w:hAnsi="Times New Roman" w:cs="Times New Roman"/>
        </w:rPr>
        <w:t>or at differential-equation models of mood swings in bipolar disorder [11,22], but they did so in isolation. Here, a single framework explains both major depressive disorder (MDD) and bipolar disorder (BD) by changing only two knobs: how hard the network i</w:t>
      </w:r>
      <w:r>
        <w:rPr>
          <w:rFonts w:ascii="Times New Roman" w:eastAsia="Times New Roman" w:hAnsi="Times New Roman" w:cs="Times New Roman"/>
        </w:rPr>
        <w:t>s pruned and whether pruning favors loss of inhibition. Using a gated-recurrent (GRU) design was critical. Because recurrent loops feed activity back into the system, small shifts in the balance between excitation and inhibition snowball over time, reprodu</w:t>
      </w:r>
      <w:r>
        <w:rPr>
          <w:rFonts w:ascii="Times New Roman" w:eastAsia="Times New Roman" w:hAnsi="Times New Roman" w:cs="Times New Roman"/>
        </w:rPr>
        <w:t>cing the escalating highs of mania—something feed-forward networks cannot do.</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The model also treats "cognitive reserve" as a simple gain control on hidden states. Turning that knob upward pushed the BD-like networks toward volatility, echoing </w:t>
      </w:r>
      <w:r>
        <w:rPr>
          <w:rFonts w:ascii="Times New Roman" w:eastAsia="Times New Roman" w:hAnsi="Times New Roman" w:cs="Times New Roman"/>
        </w:rPr>
        <w:t>reports that people with strong early-life cognitive skills face higher risk for manic episodes later on [10]. Finally, we split treatment into an acute, single "dose" and a slower, repeated regimen. The first rebuilt synapses quickly but risked an excitat</w:t>
      </w:r>
      <w:r>
        <w:rPr>
          <w:rFonts w:ascii="Times New Roman" w:eastAsia="Times New Roman" w:hAnsi="Times New Roman" w:cs="Times New Roman"/>
        </w:rPr>
        <w:t>ory overshoot, a pattern that mirrors ketamine-induced mood switches [13]. The second, more gradual schedule allowed inhibitory connections to catch up, hinting at why repeated low-dose protocols seem safer for BD.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8" w:name="_a31vy1ezlqp0"/>
      <w:bookmarkEnd w:id="18"/>
      <w:r>
        <w:t>Potential Impact</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If these </w:t>
      </w:r>
      <w:r>
        <w:rPr>
          <w:rFonts w:ascii="Times New Roman" w:eastAsia="Times New Roman" w:hAnsi="Times New Roman" w:cs="Times New Roman"/>
        </w:rPr>
        <w:t xml:space="preserve">findings hold in more biologically detailed models, they could guide everyday care. Long-term, moderate enhancement of plasticity lines up with guideline advice for extended maintenance therapy, yet relapse rates still hover around 40–55 % a year [12,23]. </w:t>
      </w:r>
      <w:r>
        <w:rPr>
          <w:rFonts w:ascii="Times New Roman" w:eastAsia="Times New Roman" w:hAnsi="Times New Roman" w:cs="Times New Roman"/>
        </w:rPr>
        <w:t>Our results offer a mechanistic reason: only slow, activity-dependent regrowth restores the inhibition that keeps mania in check. The work also supports targeting pruning pathways—such as complement or microglial signaling—rather than broadly boosting glut</w:t>
      </w:r>
      <w:r>
        <w:rPr>
          <w:rFonts w:ascii="Times New Roman" w:eastAsia="Times New Roman" w:hAnsi="Times New Roman" w:cs="Times New Roman"/>
        </w:rPr>
        <w:t>amate in BD. Because machine-learning tools already predict relapse with reasonable accuracy [21,20], combining those forecasts with model-based dosing schedules could personalize treatment further.</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19" w:name="_fkfr229k0fjc"/>
      <w:bookmarkEnd w:id="19"/>
      <w:r>
        <w:t>Limitations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Several caveats matter. The classification </w:t>
      </w:r>
      <w:r>
        <w:rPr>
          <w:rFonts w:ascii="Times New Roman" w:eastAsia="Times New Roman" w:hAnsi="Times New Roman" w:cs="Times New Roman"/>
        </w:rPr>
        <w:t>task used here is a coarse stand-in for real cognition, and the networks were small compared with human cortex. Pruning rules were set by magnitude and a fixed inhibitory bias, not by the detailed complement-microglia dance seen in vivo. Stress and cogniti</w:t>
      </w:r>
      <w:r>
        <w:rPr>
          <w:rFonts w:ascii="Times New Roman" w:eastAsia="Times New Roman" w:hAnsi="Times New Roman" w:cs="Times New Roman"/>
        </w:rPr>
        <w:t>ve reserve entered as single numbers, leaving out richer hormone and neurotransmitter effects. Finally, runs were deterministic after training, so random life events that spark mood episodes were not modeled.</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2"/>
      </w:pPr>
      <w:bookmarkStart w:id="20" w:name="_ix6jlg8z8k1m"/>
      <w:bookmarkEnd w:id="20"/>
      <w:r>
        <w:t>Conclusion</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Taken together, the simulations su</w:t>
      </w:r>
      <w:r>
        <w:rPr>
          <w:rFonts w:ascii="Times New Roman" w:eastAsia="Times New Roman" w:hAnsi="Times New Roman" w:cs="Times New Roman"/>
        </w:rPr>
        <w:t>ggest a simple story: severe, even-handed pruning leads to the capacity loss of MDD, whereas milder, inhibition-skewed pruning leaves BD networks sharp but unstable. Fast plasticity fixes the depressive deficit yet can tip BD into mania unless applied slow</w:t>
      </w:r>
      <w:r>
        <w:rPr>
          <w:rFonts w:ascii="Times New Roman" w:eastAsia="Times New Roman" w:hAnsi="Times New Roman" w:cs="Times New Roman"/>
        </w:rPr>
        <w:t>ly and steadily. Testing this account—through longitudinal imaging or targeted immune interventions—could move care for mood disorders from trial-and-error toward mechanism-guided precision.</w:t>
      </w:r>
    </w:p>
    <w:p w:rsidR="001B7CF1" w:rsidRDefault="001B7CF1">
      <w:pPr>
        <w:pStyle w:val="Standard"/>
        <w:spacing w:line="480" w:lineRule="auto"/>
        <w:jc w:val="both"/>
        <w:rPr>
          <w:rFonts w:ascii="Times New Roman" w:eastAsia="Times New Roman" w:hAnsi="Times New Roman" w:cs="Times New Roman"/>
        </w:rPr>
      </w:pP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Heading1"/>
      </w:pPr>
      <w:bookmarkStart w:id="21" w:name="_e6eppv4y5xbu"/>
      <w:bookmarkEnd w:id="21"/>
      <w:r>
        <w:t>References</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[1] Grande I, Berk M, Birmaher B, Vieta E. Bipolar </w:t>
      </w:r>
      <w:r>
        <w:rPr>
          <w:rFonts w:ascii="Times New Roman" w:eastAsia="Times New Roman" w:hAnsi="Times New Roman" w:cs="Times New Roman"/>
        </w:rPr>
        <w:t>disorder. Lancet. 2016;387:1561–72.</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[2] Mullins N, et al. Genome-wide association study of more than 40,000 bipolar disorder cases provides new insights into the underlying biology. Nature Genetics. 2021;53(6):817–829.</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[3] Trubetskoy V, et al. Mapping ge</w:t>
      </w:r>
      <w:r>
        <w:rPr>
          <w:rFonts w:ascii="Times New Roman" w:eastAsia="Times New Roman" w:hAnsi="Times New Roman" w:cs="Times New Roman"/>
        </w:rPr>
        <w:t>nomic loci implicates genes and synaptic biology in schizophrenia. Nature. 2022;604(7906):502–508.</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[4] Cross-Disorder Group of the Psychiatric Genomics Consortium. Genomic relationships, novel loci, and pleiotropic mechanisms across eight psychiatric diso</w:t>
      </w:r>
      <w:r>
        <w:rPr>
          <w:rFonts w:ascii="Times New Roman" w:eastAsia="Times New Roman" w:hAnsi="Times New Roman" w:cs="Times New Roman"/>
        </w:rPr>
        <w:t>rders. Cell. 2019;179(7):1469–1482.e11.</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[5] Stahl EA, et al. Genome-wide association study identifies 30 loci associated with bipolar disorder. Nature Genetics. 2019;51(5):793–803.</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[6] Malhi GS, Tanious M, Das P, Coulston CM, Berk M. Potential mechanisms</w:t>
      </w:r>
      <w:r>
        <w:rPr>
          <w:rFonts w:ascii="Times New Roman" w:eastAsia="Times New Roman" w:hAnsi="Times New Roman" w:cs="Times New Roman"/>
        </w:rPr>
        <w:t xml:space="preserve"> of action of lithium in bipolar disorder. Current understanding. CNS drugs. 2013;27(2):135–153.</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[7] Zarate CA, Jr., et al. A randomized trial of an N-methyl-D-aspartate antagonist in treatment-resistant major depression. Archives of General </w:t>
      </w:r>
      <w:r>
        <w:rPr>
          <w:rFonts w:ascii="Times New Roman" w:eastAsia="Times New Roman" w:hAnsi="Times New Roman" w:cs="Times New Roman"/>
        </w:rPr>
        <w:t>Psychiatry. 2006;63(8):856–864.</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[8] Sekar A, et al. Schizophrenia risk from complex variation of complement component 4. Nature. 2016;530(7589):177–183.</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[9] Cheung N. From Pruned Circuits to Manic Instability: Genetic Evidence for Independent Pruning Dom</w:t>
      </w:r>
      <w:r>
        <w:rPr>
          <w:rFonts w:ascii="Times New Roman" w:eastAsia="Times New Roman" w:hAnsi="Times New Roman" w:cs="Times New Roman"/>
        </w:rPr>
        <w:t>inance and Risk-Amplifying Cognitive Reserve in Bipolar Disorder. Zenodo. 2026. https://doi.org/10.5281/zenodo.18214025</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[10] MacCabe JH, et al. Excellent school performance at age 16 and risk of adult bipolar disorder: national cohort study. The British j</w:t>
      </w:r>
      <w:r>
        <w:rPr>
          <w:rFonts w:ascii="Times New Roman" w:eastAsia="Times New Roman" w:hAnsi="Times New Roman" w:cs="Times New Roman"/>
        </w:rPr>
        <w:t>ournal of psychiatry : the journal of mental science. 2010;196(2):109–115.</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[11] Cochran AL, Vineyard J. The Dynamics of Mood in Bipolar Disorder: How Mathematical Models Help Phenotype Individuals, Forecast Mood, and Clarify Underlying Mechanisms. Current</w:t>
      </w:r>
      <w:r>
        <w:rPr>
          <w:rFonts w:ascii="Times New Roman" w:eastAsia="Times New Roman" w:hAnsi="Times New Roman" w:cs="Times New Roman"/>
        </w:rPr>
        <w:t xml:space="preserve"> psychiatry reports. 2025;27(12):687–696.</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[12] Giménez-Palomo A, et al. Clinical, sociodemographic and environmental predicting factors for relapse in bipolar disorder: A systematic review. Journal of affective disorders. 2024;360:276-296.</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[13] Santucci </w:t>
      </w:r>
      <w:r>
        <w:rPr>
          <w:rFonts w:ascii="Times New Roman" w:eastAsia="Times New Roman" w:hAnsi="Times New Roman" w:cs="Times New Roman"/>
        </w:rPr>
        <w:t>MC, et al. Efficacy and Safety of Ketamine/Esketamine in Bipolar Depression in a Clinical Setting. The Journal of clinical psychiatry. 2024;85(4):24m15376.</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[14] Paszke A, et al. PyTorch: An imperative style, high-performance deep learning library. Advance</w:t>
      </w:r>
      <w:r>
        <w:rPr>
          <w:rFonts w:ascii="Times New Roman" w:eastAsia="Times New Roman" w:hAnsi="Times New Roman" w:cs="Times New Roman"/>
        </w:rPr>
        <w:t>s in Neural Information Processing Systems. 2019;32:8024–8035.</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[15] Frankle J, Carbin M. The lottery ticket hypothesis: Finding sparse, trainable neural networks. International Conference on Learning Representations. 2019.</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[16] Evci U, et al. Rigging the</w:t>
      </w:r>
      <w:r>
        <w:rPr>
          <w:rFonts w:ascii="Times New Roman" w:eastAsia="Times New Roman" w:hAnsi="Times New Roman" w:cs="Times New Roman"/>
        </w:rPr>
        <w:t xml:space="preserve"> lottery: Making all tickets winners. In International conference on machine learning. 2020. p. 2943-2952.</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[17] Cho K, et al. Learning phrase representations using RNN encoder–decoder for statistical machine translation. Proceedings of the 2014 Conference</w:t>
      </w:r>
      <w:r>
        <w:rPr>
          <w:rFonts w:ascii="Times New Roman" w:eastAsia="Times New Roman" w:hAnsi="Times New Roman" w:cs="Times New Roman"/>
        </w:rPr>
        <w:t xml:space="preserve"> on Empirical Methods in Natural Language Processing. 2014:1724–1734.</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[18] World Health Organization. Duration of maintenance treatment with antipsychotics or mood stabilizers in individuals with bipolar disorder. WHO Press; 2023.</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[19] Keramatian K, Chit</w:t>
      </w:r>
      <w:r>
        <w:rPr>
          <w:rFonts w:ascii="Times New Roman" w:eastAsia="Times New Roman" w:hAnsi="Times New Roman" w:cs="Times New Roman"/>
        </w:rPr>
        <w:t>hra NK, Yatham LN. The CANMAT and ISBD Guidelines for the Treatment of Bipolar Disorder: Summary and a 2023 Update of Evidence. Focus (American Psychiatric Publishing). 2023;21(4):344–353.</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[20] Rotenberg LS, et al. Exploring machine learning to predict de</w:t>
      </w:r>
      <w:r>
        <w:rPr>
          <w:rFonts w:ascii="Times New Roman" w:eastAsia="Times New Roman" w:hAnsi="Times New Roman" w:cs="Times New Roman"/>
        </w:rPr>
        <w:t>pressive relapses of bipolar disorder patients. Journal of affective disorders. 2021;295:681–687.</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[21] Amanollahi M, et al. Machine learning applied to the prediction of relapse, hospitalization, and suicide in bipolar disorder using </w:t>
      </w:r>
      <w:r>
        <w:rPr>
          <w:rFonts w:ascii="Times New Roman" w:eastAsia="Times New Roman" w:hAnsi="Times New Roman" w:cs="Times New Roman"/>
        </w:rPr>
        <w:t>neuroimaging and clinical data: A systematic review. Journal of affective disorders. 2024;361:778–797.</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[22] Goldbeter A. A model for the dynamics of bipolar disorders. Progress in biophysics and molecular biology. 2011;105(1-2):119–127.</w:t>
      </w:r>
    </w:p>
    <w:p w:rsidR="001B7CF1" w:rsidRDefault="001B7CF1">
      <w:pPr>
        <w:pStyle w:val="Standard"/>
        <w:spacing w:line="480" w:lineRule="auto"/>
        <w:jc w:val="both"/>
        <w:rPr>
          <w:rFonts w:ascii="Times New Roman" w:eastAsia="Times New Roman" w:hAnsi="Times New Roman" w:cs="Times New Roman"/>
        </w:rPr>
      </w:pPr>
    </w:p>
    <w:p w:rsidR="001B7CF1" w:rsidRDefault="007D408E">
      <w:pPr>
        <w:pStyle w:val="Standard"/>
        <w:spacing w:line="480" w:lineRule="auto"/>
        <w:jc w:val="both"/>
      </w:pPr>
      <w:r>
        <w:rPr>
          <w:rFonts w:ascii="Times New Roman" w:eastAsia="Times New Roman" w:hAnsi="Times New Roman" w:cs="Times New Roman"/>
        </w:rPr>
        <w:t xml:space="preserve">[23] Vázquez GH, </w:t>
      </w:r>
      <w:r>
        <w:rPr>
          <w:rFonts w:ascii="Times New Roman" w:eastAsia="Times New Roman" w:hAnsi="Times New Roman" w:cs="Times New Roman"/>
        </w:rPr>
        <w:t>et al. Recurrence rates in bipolar disorder: Systematic comparison of long-term prospective, naturalistic studies versus randomized controlled trials. European neuropsychopharmacology : the journal of the European College of Neuropsychopharmacology. 2015;2</w:t>
      </w:r>
      <w:r>
        <w:rPr>
          <w:rFonts w:ascii="Times New Roman" w:eastAsia="Times New Roman" w:hAnsi="Times New Roman" w:cs="Times New Roman"/>
        </w:rPr>
        <w:t>5(10):1501–1512.</w:t>
      </w:r>
    </w:p>
    <w:sectPr w:rsidR="001B7CF1">
      <w:footerReference w:type="default" r:id="rId11"/>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000" w:rsidRDefault="007D408E">
      <w:r>
        <w:separator/>
      </w:r>
    </w:p>
  </w:endnote>
  <w:endnote w:type="continuationSeparator" w:id="0">
    <w:p w:rsidR="00000000" w:rsidRDefault="007D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61D4" w:rsidRDefault="007D408E">
    <w:pPr>
      <w:pStyle w:val="Standard"/>
      <w:jc w:val="right"/>
    </w:pPr>
    <w:r>
      <w:fldChar w:fldCharType="begin"/>
    </w:r>
    <w:r>
      <w:instrText xml:space="preserve"> PAGE </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0000" w:rsidRDefault="007D408E">
      <w:r>
        <w:rPr>
          <w:color w:val="000000"/>
        </w:rPr>
        <w:separator/>
      </w:r>
    </w:p>
  </w:footnote>
  <w:footnote w:type="continuationSeparator" w:id="0">
    <w:p w:rsidR="00000000" w:rsidRDefault="007D4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C0047"/>
    <w:multiLevelType w:val="multilevel"/>
    <w:tmpl w:val="AD147154"/>
    <w:styleLink w:val="WWNum1"/>
    <w:lvl w:ilvl="0">
      <w:numFmt w:val="bullet"/>
      <w:lvlText w:val="●"/>
      <w:lvlJc w:val="left"/>
      <w:pPr>
        <w:ind w:left="720" w:hanging="360"/>
      </w:pPr>
      <w:rPr>
        <w:rFonts w:ascii="Times New Roman" w:hAnsi="Times New Roman"/>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0"/>
  </w:num>
  <w:num w:numId="2">
    <w:abstractNumId w:val="0"/>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B7CF1"/>
    <w:rsid w:val="001B7CF1"/>
    <w:rsid w:val="007D4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3F4E35-17E7-4EC7-BAEF-A0261602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line="480" w:lineRule="auto"/>
      <w:jc w:val="both"/>
      <w:outlineLvl w:val="0"/>
    </w:pPr>
    <w:rPr>
      <w:rFonts w:ascii="Times New Roman" w:eastAsia="Times New Roman" w:hAnsi="Times New Roman" w:cs="Times New Roman"/>
      <w:b/>
      <w:bCs/>
      <w:sz w:val="28"/>
      <w:szCs w:val="28"/>
    </w:rPr>
  </w:style>
  <w:style w:type="paragraph" w:styleId="Heading2">
    <w:name w:val="heading 2"/>
    <w:basedOn w:val="Normal"/>
    <w:next w:val="Standard"/>
    <w:uiPriority w:val="9"/>
    <w:unhideWhenUsed/>
    <w:qFormat/>
    <w:pPr>
      <w:keepNext/>
      <w:keepLines/>
      <w:spacing w:line="480" w:lineRule="auto"/>
      <w:jc w:val="both"/>
      <w:outlineLvl w:val="1"/>
    </w:pPr>
    <w:rPr>
      <w:rFonts w:ascii="Times New Roman" w:eastAsia="Times New Roman" w:hAnsi="Times New Roman" w:cs="Times New Roman"/>
      <w:b/>
      <w:bCs/>
      <w:i/>
      <w:iCs/>
    </w:rPr>
  </w:style>
  <w:style w:type="paragraph" w:styleId="Heading3">
    <w:name w:val="heading 3"/>
    <w:basedOn w:val="Normal"/>
    <w:next w:val="Standard"/>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iCs/>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Footer">
    <w:name w:val="footer"/>
    <w:basedOn w:val="Standard"/>
  </w:style>
  <w:style w:type="character" w:customStyle="1" w:styleId="ListLabel1">
    <w:name w:val="ListLabel 1"/>
    <w:rPr>
      <w:rFonts w:ascii="Times New Roman" w:eastAsia="Times New Roman" w:hAnsi="Times New Roman" w:cs="Times New Roman"/>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4066</Words>
  <Characters>23179</Characters>
  <Application>Microsoft Office Word</Application>
  <DocSecurity>0</DocSecurity>
  <Lines>193</Lines>
  <Paragraphs>54</Paragraphs>
  <ScaleCrop>false</ScaleCrop>
  <Company/>
  <LinksUpToDate>false</LinksUpToDate>
  <CharactersWithSpaces>27191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cloudconvert_6</cp:lastModifiedBy>
  <cp:revision>1</cp:revision>
  <dcterms:created xsi:type="dcterms:W3CDTF">2026-01-12T17:14:00Z</dcterms:created>
  <dcterms:modified xsi:type="dcterms:W3CDTF">2026-01-12T17:14:00Z</dcterms:modified>
</cp:coreProperties>
</file>